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39CB5CEC" w:rsidR="00612FA3" w:rsidRDefault="00311458" w:rsidP="00527B70">
      <w:pPr>
        <w:jc w:val="center"/>
        <w:rPr>
          <w:rFonts w:ascii="Arial" w:hAnsi="Arial"/>
          <w:color w:val="808080" w:themeColor="background1" w:themeShade="80"/>
          <w:sz w:val="16"/>
          <w:szCs w:val="18"/>
        </w:rPr>
      </w:pPr>
      <w:r>
        <w:rPr>
          <w:rFonts w:ascii="Arial" w:hAnsi="Arial" w:cs="Arial"/>
          <w:b/>
          <w:noProof/>
          <w:color w:val="007AC2"/>
          <w:sz w:val="36"/>
        </w:rPr>
        <mc:AlternateContent>
          <mc:Choice Requires="wps">
            <w:drawing>
              <wp:anchor distT="0" distB="0" distL="114300" distR="114300" simplePos="0" relativeHeight="251659264" behindDoc="0" locked="0" layoutInCell="1" allowOverlap="1" wp14:anchorId="5189E813" wp14:editId="0845C28A">
                <wp:simplePos x="0" y="0"/>
                <wp:positionH relativeFrom="column">
                  <wp:posOffset>4965700</wp:posOffset>
                </wp:positionH>
                <wp:positionV relativeFrom="paragraph">
                  <wp:posOffset>111125</wp:posOffset>
                </wp:positionV>
                <wp:extent cx="1600835" cy="51498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600835" cy="5149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02E658" w14:textId="1DC668C3" w:rsidR="00311458" w:rsidRDefault="00311458">
                            <w:r>
                              <w:rPr>
                                <w:rFonts w:ascii="Arial" w:hAnsi="Arial" w:cs="Arial"/>
                                <w:b/>
                                <w:noProof/>
                                <w:color w:val="007AC2"/>
                                <w:sz w:val="36"/>
                              </w:rPr>
                              <w:drawing>
                                <wp:inline distT="0" distB="0" distL="0" distR="0" wp14:anchorId="5FADB237" wp14:editId="131DB4C6">
                                  <wp:extent cx="1357503" cy="489162"/>
                                  <wp:effectExtent l="0" t="0" r="0" b="0"/>
                                  <wp:docPr id="1" name="Picture 1" descr="/Volumes/Docs/Publicity/Active/Press Kits for Web Upload/2018/Topcon_Press-kit_Constructioneering Brisbane/BentleyInstituteLogo_RGB_04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Constructioneering Brisbane/BentleyInstituteLogo_RGB_0414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861" cy="50478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89E813" id="_x0000_t202" coordsize="21600,21600" o:spt="202" path="m0,0l0,21600,21600,21600,21600,0xe">
                <v:stroke joinstyle="miter"/>
                <v:path gradientshapeok="t" o:connecttype="rect"/>
              </v:shapetype>
              <v:shape id="Text Box 5" o:spid="_x0000_s1026" type="#_x0000_t202" style="position:absolute;left:0;text-align:left;margin-left:391pt;margin-top:8.75pt;width:126.05pt;height:4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" filled="f" stroked="f">
                <v:textbox>
                  <w:txbxContent>
                    <w:p w14:paraId="3302E658" w14:textId="1DC668C3" w:rsidR="00311458" w:rsidRDefault="00311458">
                      <w:r>
                        <w:rPr>
                          <w:rFonts w:ascii="Arial" w:hAnsi="Arial" w:cs="Arial"/>
                          <w:b/>
                          <w:noProof/>
                          <w:color w:val="007AC2"/>
                          <w:sz w:val="36"/>
                        </w:rPr>
                        <w:drawing>
                          <wp:inline distT="0" distB="0" distL="0" distR="0" wp14:anchorId="5FADB237" wp14:editId="131DB4C6">
                            <wp:extent cx="1357503" cy="489162"/>
                            <wp:effectExtent l="0" t="0" r="0" b="0"/>
                            <wp:docPr id="1" name="Picture 1" descr="/Volumes/Docs/Publicity/Active/Press Kits for Web Upload/2018/Topcon_Press-kit_Constructioneering Brisbane/BentleyInstituteLogo_RGB_04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Constructioneering Brisbane/BentleyInstituteLogo_RGB_0414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0861" cy="504786"/>
                                    </a:xfrm>
                                    <a:prstGeom prst="rect">
                                      <a:avLst/>
                                    </a:prstGeom>
                                    <a:noFill/>
                                    <a:ln>
                                      <a:noFill/>
                                    </a:ln>
                                  </pic:spPr>
                                </pic:pic>
                              </a:graphicData>
                            </a:graphic>
                          </wp:inline>
                        </w:drawing>
                      </w:r>
                    </w:p>
                  </w:txbxContent>
                </v:textbox>
                <w10:wrap type="square"/>
              </v:shape>
            </w:pict>
          </mc:Fallback>
        </mc:AlternateContent>
      </w:r>
    </w:p>
    <w:p w14:paraId="4FC63D61" w14:textId="77777777" w:rsidR="00527B70" w:rsidRPr="00527B70" w:rsidRDefault="00527B70" w:rsidP="00527B70">
      <w:pPr>
        <w:jc w:val="center"/>
        <w:rPr>
          <w:rFonts w:ascii="Arial" w:hAnsi="Arial"/>
          <w:color w:val="808080" w:themeColor="background1" w:themeShade="80"/>
          <w:sz w:val="6"/>
          <w:szCs w:val="18"/>
        </w:rPr>
      </w:pPr>
    </w:p>
    <w:p w14:paraId="5722A99C" w14:textId="77777777" w:rsidR="00311458" w:rsidRDefault="00311458" w:rsidP="00311458">
      <w:pPr>
        <w:tabs>
          <w:tab w:val="left" w:pos="270"/>
        </w:tabs>
        <w:spacing w:line="360" w:lineRule="auto"/>
        <w:jc w:val="center"/>
        <w:rPr>
          <w:rFonts w:ascii="Arial" w:hAnsi="Arial" w:cs="Arial"/>
          <w:b/>
          <w:color w:val="007AC2"/>
          <w:sz w:val="36"/>
        </w:rPr>
      </w:pPr>
    </w:p>
    <w:p w14:paraId="1A943A65" w14:textId="77777777" w:rsidR="00311458" w:rsidRPr="002D66E2" w:rsidRDefault="00311458" w:rsidP="00311458">
      <w:pPr>
        <w:tabs>
          <w:tab w:val="left" w:pos="270"/>
        </w:tabs>
        <w:spacing w:line="360" w:lineRule="auto"/>
        <w:jc w:val="center"/>
        <w:rPr>
          <w:rFonts w:ascii="Arial" w:hAnsi="Arial" w:cs="Arial"/>
          <w:b/>
          <w:color w:val="007AC2"/>
          <w:sz w:val="8"/>
        </w:rPr>
      </w:pPr>
    </w:p>
    <w:p w14:paraId="01A33804" w14:textId="4FCE7F7C" w:rsidR="0073444F" w:rsidRDefault="00311458" w:rsidP="00311458">
      <w:pPr>
        <w:tabs>
          <w:tab w:val="left" w:pos="270"/>
        </w:tabs>
        <w:spacing w:line="360" w:lineRule="auto"/>
        <w:jc w:val="center"/>
        <w:rPr>
          <w:rFonts w:ascii="Arial" w:hAnsi="Arial" w:cs="Arial"/>
          <w:b/>
          <w:color w:val="007AC2"/>
          <w:sz w:val="36"/>
        </w:rPr>
      </w:pPr>
      <w:r>
        <w:rPr>
          <w:rFonts w:ascii="Arial" w:hAnsi="Arial" w:cs="Arial"/>
          <w:b/>
          <w:noProof/>
          <w:color w:val="007AC2"/>
          <w:sz w:val="36"/>
        </w:rPr>
        <w:drawing>
          <wp:inline distT="0" distB="0" distL="0" distR="0" wp14:anchorId="089AA0B0" wp14:editId="16A8BEBF">
            <wp:extent cx="1716069" cy="1145536"/>
            <wp:effectExtent l="0" t="0" r="11430" b="0"/>
            <wp:docPr id="3" name="Picture 3" descr="/Volumes/Docs/Publicity/Active/Press Kits for Web Upload/2018/Constructioneering_Academy_Livermor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Constructioneering_Academy_Livermore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8319" cy="1153714"/>
                    </a:xfrm>
                    <a:prstGeom prst="rect">
                      <a:avLst/>
                    </a:prstGeom>
                    <a:noFill/>
                    <a:ln>
                      <a:noFill/>
                    </a:ln>
                  </pic:spPr>
                </pic:pic>
              </a:graphicData>
            </a:graphic>
          </wp:inline>
        </w:drawing>
      </w:r>
      <w:r>
        <w:rPr>
          <w:rFonts w:ascii="Arial" w:hAnsi="Arial" w:cs="Arial"/>
          <w:b/>
          <w:color w:val="007AC2"/>
          <w:sz w:val="36"/>
        </w:rPr>
        <w:t xml:space="preserve">   </w:t>
      </w:r>
      <w:r>
        <w:rPr>
          <w:rFonts w:ascii="Arial" w:hAnsi="Arial" w:cs="Arial"/>
          <w:b/>
          <w:noProof/>
          <w:color w:val="007AC2"/>
          <w:sz w:val="36"/>
        </w:rPr>
        <w:drawing>
          <wp:inline distT="0" distB="0" distL="0" distR="0" wp14:anchorId="00466B6B" wp14:editId="0268D5C2">
            <wp:extent cx="1712271" cy="1143000"/>
            <wp:effectExtent l="0" t="0" r="0" b="0"/>
            <wp:docPr id="4" name="Picture 4" descr="/Volumes/Docs/Publicity/Active/Press Kits for Web Upload/2018/Constructioneering_Academy_Livermore_Classroom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mes/Docs/Publicity/Active/Press Kits for Web Upload/2018/Constructioneering_Academy_Livermore_Classroom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2271" cy="1143000"/>
                    </a:xfrm>
                    <a:prstGeom prst="rect">
                      <a:avLst/>
                    </a:prstGeom>
                    <a:noFill/>
                    <a:ln>
                      <a:noFill/>
                    </a:ln>
                  </pic:spPr>
                </pic:pic>
              </a:graphicData>
            </a:graphic>
          </wp:inline>
        </w:drawing>
      </w:r>
    </w:p>
    <w:p w14:paraId="7F8B0F1E" w14:textId="4390F461" w:rsidR="0073444F" w:rsidRPr="00311458" w:rsidRDefault="0073444F" w:rsidP="0073444F">
      <w:pPr>
        <w:jc w:val="center"/>
        <w:rPr>
          <w:rFonts w:ascii="Arial" w:hAnsi="Arial" w:cs="Arial"/>
          <w:b/>
          <w:color w:val="007AC2"/>
          <w:sz w:val="32"/>
        </w:rPr>
      </w:pPr>
      <w:r w:rsidRPr="00311458">
        <w:rPr>
          <w:rFonts w:ascii="Arial" w:hAnsi="Arial" w:cs="Arial"/>
          <w:b/>
          <w:color w:val="007AC2"/>
          <w:sz w:val="32"/>
        </w:rPr>
        <w:t xml:space="preserve">Topcon and Bentley to hold collaborative </w:t>
      </w:r>
      <w:r w:rsidR="00311458" w:rsidRPr="00311458">
        <w:rPr>
          <w:rFonts w:ascii="Arial" w:hAnsi="Arial" w:cs="Arial"/>
          <w:b/>
          <w:color w:val="007AC2"/>
          <w:sz w:val="32"/>
        </w:rPr>
        <w:br/>
      </w:r>
      <w:r w:rsidRPr="00311458">
        <w:rPr>
          <w:rFonts w:ascii="Arial" w:hAnsi="Arial" w:cs="Arial"/>
          <w:b/>
          <w:color w:val="007AC2"/>
          <w:sz w:val="32"/>
        </w:rPr>
        <w:t xml:space="preserve">Constructioneering Academy in Brisbane </w:t>
      </w:r>
    </w:p>
    <w:p w14:paraId="1BC9B62D" w14:textId="77777777" w:rsidR="00F96246" w:rsidRPr="00311458" w:rsidRDefault="00F96246" w:rsidP="00F96246">
      <w:pPr>
        <w:jc w:val="center"/>
        <w:rPr>
          <w:rFonts w:ascii="Arial" w:hAnsi="Arial" w:cs="Arial"/>
          <w:b/>
          <w:color w:val="007AC2"/>
          <w:sz w:val="18"/>
        </w:rPr>
      </w:pPr>
    </w:p>
    <w:p w14:paraId="62A2CC96" w14:textId="0F51AA8C" w:rsidR="00611CC4" w:rsidRPr="00611CC4" w:rsidRDefault="0073444F" w:rsidP="00611CC4">
      <w:pPr>
        <w:rPr>
          <w:rFonts w:ascii="Arial" w:hAnsi="Arial" w:cs="Arial"/>
          <w:sz w:val="20"/>
          <w:szCs w:val="20"/>
        </w:rPr>
      </w:pPr>
      <w:r w:rsidRPr="00B54F61">
        <w:rPr>
          <w:rFonts w:ascii="Arial" w:hAnsi="Arial" w:cs="Arial"/>
          <w:i/>
          <w:sz w:val="20"/>
          <w:szCs w:val="20"/>
        </w:rPr>
        <w:t>LIVERMORE, Calif., U.S./ CAPELLE A/D IJSSEL, the Netherlands –</w:t>
      </w:r>
      <w:r w:rsidR="00617510">
        <w:rPr>
          <w:rFonts w:ascii="Arial" w:hAnsi="Arial" w:cs="Arial"/>
          <w:i/>
          <w:color w:val="FF0000"/>
          <w:sz w:val="20"/>
          <w:szCs w:val="20"/>
        </w:rPr>
        <w:t xml:space="preserve"> </w:t>
      </w:r>
      <w:r w:rsidR="00F057EE">
        <w:rPr>
          <w:rFonts w:ascii="Arial" w:hAnsi="Arial" w:cs="Arial"/>
          <w:i/>
          <w:sz w:val="20"/>
          <w:szCs w:val="20"/>
        </w:rPr>
        <w:t xml:space="preserve">April </w:t>
      </w:r>
      <w:bookmarkStart w:id="0" w:name="_GoBack"/>
      <w:bookmarkEnd w:id="0"/>
      <w:r w:rsidR="00617510" w:rsidRPr="00617510">
        <w:rPr>
          <w:rFonts w:ascii="Arial" w:hAnsi="Arial" w:cs="Arial"/>
          <w:i/>
          <w:sz w:val="20"/>
          <w:szCs w:val="20"/>
        </w:rPr>
        <w:t>2, 2018</w:t>
      </w:r>
      <w:r w:rsidRPr="00617510">
        <w:rPr>
          <w:rFonts w:ascii="Arial" w:hAnsi="Arial" w:cs="Arial"/>
          <w:i/>
          <w:sz w:val="20"/>
          <w:szCs w:val="20"/>
        </w:rPr>
        <w:t xml:space="preserve"> </w:t>
      </w:r>
      <w:r w:rsidRPr="00B54F61">
        <w:rPr>
          <w:rFonts w:ascii="Arial" w:hAnsi="Arial" w:cs="Arial"/>
          <w:i/>
          <w:sz w:val="20"/>
          <w:szCs w:val="20"/>
        </w:rPr>
        <w:t xml:space="preserve">– </w:t>
      </w:r>
      <w:r w:rsidR="00611CC4" w:rsidRPr="00611CC4">
        <w:rPr>
          <w:rFonts w:ascii="Arial" w:hAnsi="Arial" w:cs="Arial"/>
          <w:sz w:val="20"/>
          <w:szCs w:val="20"/>
        </w:rPr>
        <w:t>Topcon Positioning Group and Bentley Systems announce the second collaborative Constructioneering Academy initiative. The session is scheduled for April 12, 2018 in Brisbane, Australia.</w:t>
      </w:r>
    </w:p>
    <w:p w14:paraId="1A8F91E7" w14:textId="77777777" w:rsidR="00611CC4" w:rsidRPr="00611CC4" w:rsidRDefault="00611CC4" w:rsidP="00611CC4">
      <w:pPr>
        <w:rPr>
          <w:rFonts w:ascii="Arial" w:hAnsi="Arial" w:cs="Arial"/>
          <w:sz w:val="20"/>
          <w:szCs w:val="20"/>
        </w:rPr>
      </w:pPr>
    </w:p>
    <w:p w14:paraId="10DD049E" w14:textId="77777777" w:rsidR="00611CC4" w:rsidRPr="00611CC4" w:rsidRDefault="00611CC4" w:rsidP="00611CC4">
      <w:pPr>
        <w:rPr>
          <w:rFonts w:ascii="Arial" w:hAnsi="Arial" w:cs="Arial"/>
          <w:sz w:val="20"/>
          <w:szCs w:val="20"/>
        </w:rPr>
      </w:pPr>
      <w:r w:rsidRPr="00611CC4">
        <w:rPr>
          <w:rFonts w:ascii="Arial" w:hAnsi="Arial" w:cs="Arial"/>
          <w:sz w:val="20"/>
          <w:szCs w:val="20"/>
        </w:rPr>
        <w:t xml:space="preserve">The Constructioneering Academy is designed by Topcon and Bentley Institute to allow construction industry professionals to learn best practices for </w:t>
      </w:r>
      <w:hyperlink r:id="rId12" w:history="1">
        <w:r w:rsidRPr="00611CC4">
          <w:rPr>
            <w:rStyle w:val="Hyperlink"/>
            <w:rFonts w:ascii="Arial" w:hAnsi="Arial" w:cs="Arial"/>
            <w:sz w:val="20"/>
            <w:szCs w:val="20"/>
          </w:rPr>
          <w:t>constructioneering</w:t>
        </w:r>
      </w:hyperlink>
      <w:r w:rsidRPr="00611CC4">
        <w:rPr>
          <w:rFonts w:ascii="Arial" w:hAnsi="Arial" w:cs="Arial"/>
          <w:sz w:val="20"/>
          <w:szCs w:val="20"/>
        </w:rPr>
        <w:t>, a process of managing and integrating survey, engineering, and construction data, to streamline construction workflows and improve project delivery.</w:t>
      </w:r>
    </w:p>
    <w:p w14:paraId="0A06CFA2" w14:textId="77777777" w:rsidR="00611CC4" w:rsidRPr="00611CC4" w:rsidRDefault="00611CC4" w:rsidP="00611CC4">
      <w:pPr>
        <w:rPr>
          <w:rFonts w:ascii="Arial" w:hAnsi="Arial" w:cs="Arial"/>
          <w:sz w:val="20"/>
          <w:szCs w:val="20"/>
        </w:rPr>
      </w:pPr>
    </w:p>
    <w:p w14:paraId="4258301A" w14:textId="77777777" w:rsidR="00611CC4" w:rsidRPr="00611CC4" w:rsidRDefault="00611CC4" w:rsidP="00611CC4">
      <w:pPr>
        <w:rPr>
          <w:rFonts w:ascii="Arial" w:hAnsi="Arial" w:cs="Arial"/>
          <w:sz w:val="20"/>
          <w:szCs w:val="20"/>
        </w:rPr>
      </w:pPr>
      <w:r w:rsidRPr="00611CC4">
        <w:rPr>
          <w:rFonts w:ascii="Arial" w:hAnsi="Arial" w:cs="Arial"/>
          <w:sz w:val="20"/>
          <w:szCs w:val="20"/>
        </w:rPr>
        <w:t>“Coming off the heels of the success of our first Constructioneering Academy session in Livermore, California, we are very excited to continue the Academies that allow Topcon and Bentley personnel to interact directly with attendees to cater the experience to their interests and needs,” said Ron Oberlander, senior director of Topcon Professional Services. “Our goals include educating attendees on how to optimize digital insights to improve project outcomes, and streamline asset lifecycle workflows by integrating surveying, engineering and construction data — ultimately, they will transform design-build performance, enhance project efficiency and reduce costs.”</w:t>
      </w:r>
    </w:p>
    <w:p w14:paraId="4C3A1C67" w14:textId="77777777" w:rsidR="00611CC4" w:rsidRPr="00611CC4" w:rsidRDefault="00611CC4" w:rsidP="00611CC4">
      <w:pPr>
        <w:rPr>
          <w:rFonts w:ascii="Arial" w:hAnsi="Arial" w:cs="Arial"/>
          <w:sz w:val="20"/>
          <w:szCs w:val="20"/>
        </w:rPr>
      </w:pPr>
    </w:p>
    <w:p w14:paraId="6C6075C7" w14:textId="77777777" w:rsidR="00611CC4" w:rsidRPr="00611CC4" w:rsidRDefault="00611CC4" w:rsidP="00611CC4">
      <w:pPr>
        <w:rPr>
          <w:rFonts w:ascii="Arial" w:hAnsi="Arial" w:cs="Arial"/>
          <w:sz w:val="20"/>
          <w:szCs w:val="20"/>
        </w:rPr>
      </w:pPr>
      <w:r w:rsidRPr="00611CC4">
        <w:rPr>
          <w:rFonts w:ascii="Arial" w:hAnsi="Arial" w:cs="Arial"/>
          <w:iCs/>
          <w:sz w:val="20"/>
          <w:szCs w:val="20"/>
        </w:rPr>
        <w:t>Alan Lamont, vice president of Advancement Academies for Bentley adds, “This session in Brisbane uniquely offers attendees a full end-to-end project workflow, integrating Bentley’s constructioneering design offering and hands-on experience with Topcon’s equipment. The Constructioneering Academy, in conjunction with Topcon, is one of a series of global Digital Advancement Academies offered by Bentley Institute, establishing collaborative environments which facilitate the adoption of best practices and standards across infrastructure industries.”</w:t>
      </w:r>
    </w:p>
    <w:p w14:paraId="4B9355BE" w14:textId="77777777" w:rsidR="00611CC4" w:rsidRPr="00611CC4" w:rsidRDefault="00611CC4" w:rsidP="00611CC4">
      <w:pPr>
        <w:rPr>
          <w:rFonts w:ascii="Arial" w:hAnsi="Arial" w:cs="Arial"/>
          <w:sz w:val="20"/>
          <w:szCs w:val="20"/>
        </w:rPr>
      </w:pPr>
    </w:p>
    <w:p w14:paraId="6E4D3D00" w14:textId="77777777" w:rsidR="00611CC4" w:rsidRDefault="00611CC4" w:rsidP="00611CC4">
      <w:pPr>
        <w:rPr>
          <w:rFonts w:ascii="Arial" w:hAnsi="Arial" w:cs="Arial"/>
          <w:sz w:val="20"/>
          <w:szCs w:val="20"/>
        </w:rPr>
      </w:pPr>
      <w:r w:rsidRPr="00611CC4">
        <w:rPr>
          <w:rFonts w:ascii="Arial" w:hAnsi="Arial" w:cs="Arial"/>
          <w:sz w:val="20"/>
          <w:szCs w:val="20"/>
        </w:rPr>
        <w:t xml:space="preserve">For additional information, visit </w:t>
      </w:r>
      <w:hyperlink r:id="rId13" w:history="1">
        <w:r w:rsidRPr="00611CC4">
          <w:rPr>
            <w:rStyle w:val="Hyperlink"/>
            <w:rFonts w:ascii="Arial" w:hAnsi="Arial" w:cs="Arial"/>
            <w:sz w:val="20"/>
            <w:szCs w:val="20"/>
          </w:rPr>
          <w:t>constructioneering.com</w:t>
        </w:r>
      </w:hyperlink>
      <w:r w:rsidRPr="00611CC4">
        <w:rPr>
          <w:rFonts w:ascii="Arial" w:hAnsi="Arial" w:cs="Arial"/>
          <w:sz w:val="20"/>
          <w:szCs w:val="20"/>
        </w:rPr>
        <w:t xml:space="preserve">. </w:t>
      </w:r>
    </w:p>
    <w:p w14:paraId="74B50A8A" w14:textId="77777777" w:rsidR="00611CC4" w:rsidRPr="006823AA" w:rsidRDefault="00611CC4" w:rsidP="00611CC4">
      <w:pPr>
        <w:rPr>
          <w:rFonts w:ascii="Arial" w:hAnsi="Arial" w:cs="Arial"/>
          <w:sz w:val="18"/>
          <w:szCs w:val="20"/>
        </w:rPr>
      </w:pPr>
    </w:p>
    <w:p w14:paraId="50781AD0" w14:textId="3E306BC2" w:rsidR="002A070C" w:rsidRPr="00311458" w:rsidRDefault="002A070C" w:rsidP="00611CC4">
      <w:pPr>
        <w:rPr>
          <w:rFonts w:ascii="Arial" w:hAnsi="Arial" w:cs="Arial"/>
          <w:sz w:val="2"/>
          <w:szCs w:val="20"/>
        </w:rPr>
      </w:pPr>
    </w:p>
    <w:p w14:paraId="6F711B2A" w14:textId="77777777" w:rsidR="00611CC4" w:rsidRPr="00611CC4" w:rsidRDefault="00F61E29" w:rsidP="00611CC4">
      <w:pPr>
        <w:rPr>
          <w:rFonts w:ascii="Arial" w:hAnsi="Arial" w:cs="Arial"/>
          <w:color w:val="808080" w:themeColor="background1" w:themeShade="80"/>
          <w:sz w:val="13"/>
          <w:szCs w:val="13"/>
        </w:rPr>
      </w:pPr>
      <w:r w:rsidRPr="00311458">
        <w:rPr>
          <w:rFonts w:ascii="Arial" w:hAnsi="Arial" w:cs="Arial"/>
          <w:b/>
          <w:color w:val="808080" w:themeColor="background1" w:themeShade="80"/>
          <w:sz w:val="13"/>
          <w:szCs w:val="13"/>
        </w:rPr>
        <w:t xml:space="preserve">About Topcon Positioning Group </w:t>
      </w:r>
      <w:r w:rsidRPr="00311458">
        <w:rPr>
          <w:rFonts w:ascii="Arial" w:hAnsi="Arial" w:cs="Arial"/>
          <w:b/>
          <w:color w:val="808080" w:themeColor="background1" w:themeShade="80"/>
          <w:sz w:val="13"/>
          <w:szCs w:val="13"/>
        </w:rPr>
        <w:br/>
      </w:r>
      <w:r w:rsidR="00611CC4" w:rsidRPr="00611CC4">
        <w:rPr>
          <w:rFonts w:ascii="Arial" w:hAnsi="Arial" w:cs="Arial"/>
          <w:color w:val="808080" w:themeColor="background1" w:themeShade="80"/>
          <w:sz w:val="13"/>
          <w:szCs w:val="13"/>
        </w:rPr>
        <w:t>Topcon Positioning Group is headquartered in Livermore, California, U.S. (</w:t>
      </w:r>
      <w:hyperlink r:id="rId14" w:history="1">
        <w:r w:rsidR="00611CC4" w:rsidRPr="00611CC4">
          <w:rPr>
            <w:rStyle w:val="Hyperlink"/>
            <w:rFonts w:ascii="Arial" w:hAnsi="Arial" w:cs="Arial"/>
            <w:sz w:val="13"/>
            <w:szCs w:val="13"/>
          </w:rPr>
          <w:t>topconpositioning.com</w:t>
        </w:r>
      </w:hyperlink>
      <w:r w:rsidR="00611CC4" w:rsidRPr="00611CC4">
        <w:rPr>
          <w:rFonts w:ascii="Arial" w:hAnsi="Arial" w:cs="Arial"/>
          <w:color w:val="808080" w:themeColor="background1" w:themeShade="80"/>
          <w:sz w:val="13"/>
          <w:szCs w:val="13"/>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5" w:history="1">
        <w:r w:rsidR="00611CC4" w:rsidRPr="00611CC4">
          <w:rPr>
            <w:rStyle w:val="Hyperlink"/>
            <w:rFonts w:ascii="Arial" w:hAnsi="Arial" w:cs="Arial"/>
            <w:sz w:val="13"/>
            <w:szCs w:val="13"/>
          </w:rPr>
          <w:t>topcon.com</w:t>
        </w:r>
      </w:hyperlink>
      <w:r w:rsidR="00611CC4" w:rsidRPr="00611CC4">
        <w:rPr>
          <w:rFonts w:ascii="Arial" w:hAnsi="Arial" w:cs="Arial"/>
          <w:color w:val="808080" w:themeColor="background1" w:themeShade="80"/>
          <w:sz w:val="13"/>
          <w:szCs w:val="13"/>
        </w:rPr>
        <w:t>), founded in 1932, is traded on the Tokyo Stock Exchange (7732). </w:t>
      </w:r>
    </w:p>
    <w:p w14:paraId="3B05E0FB" w14:textId="77777777" w:rsidR="0073444F" w:rsidRPr="00311458" w:rsidRDefault="0073444F" w:rsidP="0073444F">
      <w:pPr>
        <w:rPr>
          <w:rFonts w:ascii="Arial" w:hAnsi="Arial" w:cs="Arial"/>
          <w:color w:val="808080" w:themeColor="background1" w:themeShade="80"/>
          <w:sz w:val="13"/>
          <w:szCs w:val="13"/>
        </w:rPr>
      </w:pPr>
    </w:p>
    <w:p w14:paraId="6C21DAA7" w14:textId="77777777" w:rsidR="00611CC4" w:rsidRPr="00611CC4" w:rsidRDefault="0073444F" w:rsidP="00611CC4">
      <w:pPr>
        <w:rPr>
          <w:rFonts w:ascii="Arial" w:hAnsi="Arial" w:cs="Arial"/>
          <w:color w:val="808080" w:themeColor="background1" w:themeShade="80"/>
          <w:sz w:val="13"/>
          <w:szCs w:val="13"/>
        </w:rPr>
      </w:pPr>
      <w:r w:rsidRPr="00311458">
        <w:rPr>
          <w:rFonts w:ascii="Arial" w:hAnsi="Arial" w:cs="Arial"/>
          <w:b/>
          <w:bCs/>
          <w:color w:val="808080" w:themeColor="background1" w:themeShade="80"/>
          <w:sz w:val="13"/>
          <w:szCs w:val="13"/>
        </w:rPr>
        <w:t>About Bentley Systems</w:t>
      </w:r>
      <w:r w:rsidRPr="00311458">
        <w:rPr>
          <w:rFonts w:ascii="Arial" w:hAnsi="Arial" w:cs="Arial"/>
          <w:b/>
          <w:bCs/>
          <w:color w:val="808080" w:themeColor="background1" w:themeShade="80"/>
          <w:sz w:val="13"/>
          <w:szCs w:val="13"/>
        </w:rPr>
        <w:br/>
      </w:r>
      <w:r w:rsidR="00611CC4" w:rsidRPr="00611CC4">
        <w:rPr>
          <w:rFonts w:ascii="Arial" w:hAnsi="Arial" w:cs="Arial"/>
          <w:color w:val="808080" w:themeColor="background1" w:themeShade="80"/>
          <w:sz w:val="13"/>
          <w:szCs w:val="13"/>
        </w:rPr>
        <w:t xml:space="preserve">Bentley Systems is a global leader in providing engineers, architects, geospatial professionals, constructors, and owner-operators with comprehensive software solutions for advancing the design, construction, and operations of infrastructure. Founded in 1984, Bentley has more than 3,500 colleagues in over 50 countries, $700 million in annual revenues, and since 2012 has invested more than $1 billion in research, development, and acquisitions. For more information, visit </w:t>
      </w:r>
      <w:hyperlink r:id="rId16" w:tooltip="learn more" w:history="1">
        <w:r w:rsidR="00611CC4" w:rsidRPr="00611CC4">
          <w:rPr>
            <w:rStyle w:val="Hyperlink"/>
            <w:rFonts w:ascii="Arial" w:hAnsi="Arial" w:cs="Arial"/>
            <w:sz w:val="13"/>
            <w:szCs w:val="13"/>
          </w:rPr>
          <w:t>bentley.com</w:t>
        </w:r>
      </w:hyperlink>
      <w:r w:rsidR="00611CC4" w:rsidRPr="00611CC4">
        <w:rPr>
          <w:rFonts w:ascii="Arial" w:hAnsi="Arial" w:cs="Arial"/>
          <w:color w:val="808080" w:themeColor="background1" w:themeShade="80"/>
          <w:sz w:val="13"/>
          <w:szCs w:val="13"/>
        </w:rPr>
        <w:t>.</w:t>
      </w:r>
    </w:p>
    <w:p w14:paraId="6B94CE54" w14:textId="51B371CE" w:rsidR="0073444F" w:rsidRPr="00311458" w:rsidRDefault="0073444F" w:rsidP="0073444F">
      <w:pPr>
        <w:rPr>
          <w:rFonts w:ascii="Arial" w:hAnsi="Arial" w:cs="Arial"/>
          <w:b/>
          <w:color w:val="808080" w:themeColor="background1" w:themeShade="80"/>
          <w:sz w:val="13"/>
          <w:szCs w:val="13"/>
        </w:rPr>
      </w:pPr>
    </w:p>
    <w:p w14:paraId="5F3E2453" w14:textId="284311B5" w:rsidR="00790F45" w:rsidRPr="00311458" w:rsidRDefault="00790F45" w:rsidP="00F61E29">
      <w:pPr>
        <w:rPr>
          <w:rFonts w:ascii="Arial" w:hAnsi="Arial" w:cs="Arial"/>
          <w:color w:val="808080" w:themeColor="background1" w:themeShade="80"/>
          <w:sz w:val="13"/>
          <w:szCs w:val="13"/>
        </w:rPr>
      </w:pPr>
    </w:p>
    <w:p w14:paraId="1763804F" w14:textId="032DA21C" w:rsidR="00790F45" w:rsidRPr="00311458" w:rsidRDefault="00F61E29" w:rsidP="00F61E29">
      <w:pPr>
        <w:jc w:val="center"/>
        <w:rPr>
          <w:rFonts w:ascii="Arial" w:hAnsi="Arial" w:cs="Arial"/>
          <w:color w:val="808080" w:themeColor="background1" w:themeShade="80"/>
          <w:sz w:val="13"/>
          <w:szCs w:val="13"/>
        </w:rPr>
      </w:pPr>
      <w:r w:rsidRPr="00311458">
        <w:rPr>
          <w:rFonts w:ascii="Arial" w:hAnsi="Arial" w:cs="Arial"/>
          <w:color w:val="808080" w:themeColor="background1" w:themeShade="80"/>
          <w:sz w:val="13"/>
          <w:szCs w:val="13"/>
        </w:rPr>
        <w:t># # #</w:t>
      </w:r>
    </w:p>
    <w:p w14:paraId="69DD9C20" w14:textId="1FED8618" w:rsidR="0073444F" w:rsidRPr="002D66E2" w:rsidRDefault="00F61E29" w:rsidP="0073444F">
      <w:pPr>
        <w:outlineLvl w:val="0"/>
        <w:rPr>
          <w:rFonts w:ascii="Arial" w:hAnsi="Arial" w:cs="Arial"/>
          <w:b/>
          <w:color w:val="808080" w:themeColor="background1" w:themeShade="80"/>
          <w:sz w:val="13"/>
          <w:szCs w:val="13"/>
        </w:rPr>
      </w:pPr>
      <w:r w:rsidRPr="002D66E2">
        <w:rPr>
          <w:rFonts w:ascii="Arial" w:hAnsi="Arial" w:cs="Arial"/>
          <w:b/>
          <w:color w:val="808080" w:themeColor="background1" w:themeShade="80"/>
          <w:sz w:val="13"/>
          <w:szCs w:val="13"/>
        </w:rPr>
        <w:t xml:space="preserve">Press </w:t>
      </w:r>
      <w:r w:rsidR="00B54F61">
        <w:rPr>
          <w:rFonts w:ascii="Arial" w:hAnsi="Arial" w:cs="Arial"/>
          <w:b/>
          <w:color w:val="808080" w:themeColor="background1" w:themeShade="80"/>
          <w:sz w:val="13"/>
          <w:szCs w:val="13"/>
        </w:rPr>
        <w:t>contacts</w:t>
      </w:r>
      <w:r w:rsidRPr="002D66E2">
        <w:rPr>
          <w:rFonts w:ascii="Arial" w:hAnsi="Arial" w:cs="Arial"/>
          <w:b/>
          <w:color w:val="808080" w:themeColor="background1" w:themeShade="80"/>
          <w:sz w:val="13"/>
          <w:szCs w:val="13"/>
        </w:rPr>
        <w:t xml:space="preserve">: </w:t>
      </w:r>
    </w:p>
    <w:p w14:paraId="75BB6970" w14:textId="77777777" w:rsidR="0073444F" w:rsidRPr="002D66E2" w:rsidRDefault="0073444F" w:rsidP="0073444F">
      <w:pPr>
        <w:outlineLvl w:val="0"/>
        <w:rPr>
          <w:rFonts w:ascii="Arial" w:hAnsi="Arial" w:cs="Arial"/>
          <w:b/>
          <w:bCs/>
          <w:color w:val="808080" w:themeColor="background1" w:themeShade="80"/>
          <w:sz w:val="13"/>
          <w:szCs w:val="13"/>
        </w:rPr>
      </w:pPr>
      <w:r w:rsidRPr="002D66E2">
        <w:rPr>
          <w:rFonts w:ascii="Arial" w:hAnsi="Arial" w:cs="Arial"/>
          <w:b/>
          <w:bCs/>
          <w:color w:val="808080" w:themeColor="background1" w:themeShade="80"/>
          <w:sz w:val="13"/>
          <w:szCs w:val="13"/>
        </w:rPr>
        <w:t>Topcon Positioning Group</w:t>
      </w:r>
    </w:p>
    <w:p w14:paraId="31C8EA85" w14:textId="77777777" w:rsidR="0073444F" w:rsidRPr="002D66E2" w:rsidRDefault="00B426C9" w:rsidP="0073444F">
      <w:pPr>
        <w:outlineLvl w:val="0"/>
        <w:rPr>
          <w:rFonts w:ascii="Arial" w:hAnsi="Arial" w:cs="Arial"/>
          <w:bCs/>
          <w:color w:val="808080" w:themeColor="background1" w:themeShade="80"/>
          <w:sz w:val="13"/>
          <w:szCs w:val="13"/>
        </w:rPr>
      </w:pPr>
      <w:hyperlink r:id="rId17" w:history="1">
        <w:r w:rsidR="0073444F" w:rsidRPr="002D66E2">
          <w:rPr>
            <w:rStyle w:val="Hyperlink"/>
            <w:rFonts w:ascii="Arial" w:hAnsi="Arial" w:cs="Arial"/>
            <w:bCs/>
            <w:sz w:val="13"/>
            <w:szCs w:val="13"/>
          </w:rPr>
          <w:t>corpcomm@topcon.com</w:t>
        </w:r>
      </w:hyperlink>
    </w:p>
    <w:p w14:paraId="03D9BB79" w14:textId="77777777" w:rsidR="0073444F" w:rsidRPr="002D66E2" w:rsidRDefault="0073444F" w:rsidP="0073444F">
      <w:pPr>
        <w:outlineLvl w:val="0"/>
        <w:rPr>
          <w:rFonts w:ascii="Arial" w:hAnsi="Arial" w:cs="Arial"/>
          <w:bCs/>
          <w:color w:val="808080" w:themeColor="background1" w:themeShade="80"/>
          <w:sz w:val="13"/>
          <w:szCs w:val="13"/>
        </w:rPr>
      </w:pPr>
      <w:r w:rsidRPr="002D66E2">
        <w:rPr>
          <w:rFonts w:ascii="Arial" w:hAnsi="Arial" w:cs="Arial"/>
          <w:bCs/>
          <w:color w:val="808080" w:themeColor="background1" w:themeShade="80"/>
          <w:sz w:val="13"/>
          <w:szCs w:val="13"/>
        </w:rPr>
        <w:t>Staci Fitzgerald, +1 925-245-8610</w:t>
      </w:r>
    </w:p>
    <w:p w14:paraId="52F9CB8D" w14:textId="77777777" w:rsidR="0073444F" w:rsidRPr="002D66E2" w:rsidRDefault="0073444F" w:rsidP="0073444F">
      <w:pPr>
        <w:outlineLvl w:val="0"/>
        <w:rPr>
          <w:rFonts w:ascii="Arial" w:hAnsi="Arial" w:cs="Arial"/>
          <w:b/>
          <w:bCs/>
          <w:color w:val="808080" w:themeColor="background1" w:themeShade="80"/>
          <w:sz w:val="11"/>
          <w:szCs w:val="13"/>
        </w:rPr>
      </w:pPr>
    </w:p>
    <w:p w14:paraId="5402BBB6" w14:textId="77777777" w:rsidR="0073444F" w:rsidRPr="002D66E2" w:rsidRDefault="0073444F" w:rsidP="0073444F">
      <w:pPr>
        <w:outlineLvl w:val="0"/>
        <w:rPr>
          <w:rFonts w:ascii="Arial" w:hAnsi="Arial" w:cs="Arial"/>
          <w:b/>
          <w:bCs/>
          <w:color w:val="808080" w:themeColor="background1" w:themeShade="80"/>
          <w:sz w:val="13"/>
          <w:szCs w:val="13"/>
        </w:rPr>
      </w:pPr>
      <w:r w:rsidRPr="002D66E2">
        <w:rPr>
          <w:rFonts w:ascii="Arial" w:hAnsi="Arial" w:cs="Arial"/>
          <w:b/>
          <w:bCs/>
          <w:color w:val="808080" w:themeColor="background1" w:themeShade="80"/>
          <w:sz w:val="13"/>
          <w:szCs w:val="13"/>
        </w:rPr>
        <w:t>Bentley Systems, Inc.</w:t>
      </w:r>
    </w:p>
    <w:p w14:paraId="07E806A5" w14:textId="77777777" w:rsidR="0073444F" w:rsidRPr="002D66E2" w:rsidRDefault="00B426C9" w:rsidP="0073444F">
      <w:pPr>
        <w:outlineLvl w:val="0"/>
        <w:rPr>
          <w:rFonts w:ascii="Arial" w:hAnsi="Arial" w:cs="Arial"/>
          <w:bCs/>
          <w:color w:val="808080" w:themeColor="background1" w:themeShade="80"/>
          <w:sz w:val="13"/>
          <w:szCs w:val="13"/>
        </w:rPr>
      </w:pPr>
      <w:hyperlink r:id="rId18" w:history="1">
        <w:r w:rsidR="0073444F" w:rsidRPr="002D66E2">
          <w:rPr>
            <w:rStyle w:val="Hyperlink"/>
            <w:rFonts w:ascii="Arial" w:hAnsi="Arial" w:cs="Arial"/>
            <w:bCs/>
            <w:sz w:val="13"/>
            <w:szCs w:val="13"/>
          </w:rPr>
          <w:t>jennifer.maguire@bentley.com</w:t>
        </w:r>
      </w:hyperlink>
    </w:p>
    <w:p w14:paraId="7B2E7C08" w14:textId="23ED01D1" w:rsidR="00BA6826" w:rsidRPr="002D66E2" w:rsidRDefault="0073444F" w:rsidP="00FD1C0E">
      <w:pPr>
        <w:outlineLvl w:val="0"/>
        <w:rPr>
          <w:rFonts w:ascii="Arial" w:hAnsi="Arial" w:cs="Arial"/>
          <w:bCs/>
          <w:color w:val="808080" w:themeColor="background1" w:themeShade="80"/>
          <w:sz w:val="13"/>
          <w:szCs w:val="13"/>
        </w:rPr>
      </w:pPr>
      <w:r w:rsidRPr="002D66E2">
        <w:rPr>
          <w:rFonts w:ascii="Arial" w:hAnsi="Arial" w:cs="Arial"/>
          <w:bCs/>
          <w:color w:val="808080" w:themeColor="background1" w:themeShade="80"/>
          <w:sz w:val="13"/>
          <w:szCs w:val="13"/>
        </w:rPr>
        <w:t>Jennifer Maguire, +1 610-458-2695</w:t>
      </w:r>
    </w:p>
    <w:sectPr w:rsidR="00BA6826" w:rsidRPr="002D66E2" w:rsidSect="0073444F">
      <w:headerReference w:type="first" r:id="rId19"/>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23153" w14:textId="77777777" w:rsidR="00B426C9" w:rsidRDefault="00B426C9">
      <w:r>
        <w:separator/>
      </w:r>
    </w:p>
  </w:endnote>
  <w:endnote w:type="continuationSeparator" w:id="0">
    <w:p w14:paraId="331F84D8" w14:textId="77777777" w:rsidR="00B426C9" w:rsidRDefault="00B4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07B16" w14:textId="77777777" w:rsidR="00B426C9" w:rsidRDefault="00B426C9">
      <w:r>
        <w:separator/>
      </w:r>
    </w:p>
  </w:footnote>
  <w:footnote w:type="continuationSeparator" w:id="0">
    <w:p w14:paraId="7B8EFC14" w14:textId="77777777" w:rsidR="00B426C9" w:rsidRDefault="00B426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56506"/>
    <w:rsid w:val="00265C21"/>
    <w:rsid w:val="00267859"/>
    <w:rsid w:val="002751AA"/>
    <w:rsid w:val="002811A7"/>
    <w:rsid w:val="00283421"/>
    <w:rsid w:val="002A070C"/>
    <w:rsid w:val="002A1B4F"/>
    <w:rsid w:val="002B2158"/>
    <w:rsid w:val="002B32F1"/>
    <w:rsid w:val="002B65A9"/>
    <w:rsid w:val="002D66E2"/>
    <w:rsid w:val="002E2BC8"/>
    <w:rsid w:val="002E5E21"/>
    <w:rsid w:val="002F29C4"/>
    <w:rsid w:val="00311458"/>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6547D"/>
    <w:rsid w:val="00471166"/>
    <w:rsid w:val="00482A23"/>
    <w:rsid w:val="00486106"/>
    <w:rsid w:val="004B7B79"/>
    <w:rsid w:val="004C2A52"/>
    <w:rsid w:val="004C4705"/>
    <w:rsid w:val="004C77DD"/>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1CC4"/>
    <w:rsid w:val="00612FA3"/>
    <w:rsid w:val="0061580F"/>
    <w:rsid w:val="00616127"/>
    <w:rsid w:val="00617510"/>
    <w:rsid w:val="00617F10"/>
    <w:rsid w:val="00622524"/>
    <w:rsid w:val="006274D0"/>
    <w:rsid w:val="0063192D"/>
    <w:rsid w:val="00637E81"/>
    <w:rsid w:val="0064309C"/>
    <w:rsid w:val="006456AE"/>
    <w:rsid w:val="0065235A"/>
    <w:rsid w:val="00653C74"/>
    <w:rsid w:val="006643CB"/>
    <w:rsid w:val="006713DD"/>
    <w:rsid w:val="006823AA"/>
    <w:rsid w:val="006926B3"/>
    <w:rsid w:val="006A0908"/>
    <w:rsid w:val="006B2A9A"/>
    <w:rsid w:val="006C6B2E"/>
    <w:rsid w:val="006D3CF8"/>
    <w:rsid w:val="006E05C2"/>
    <w:rsid w:val="006E2F31"/>
    <w:rsid w:val="006F2B49"/>
    <w:rsid w:val="0071332E"/>
    <w:rsid w:val="0073444F"/>
    <w:rsid w:val="007530F6"/>
    <w:rsid w:val="00756005"/>
    <w:rsid w:val="007605FA"/>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91FF7"/>
    <w:rsid w:val="008962D4"/>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176C5"/>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426C9"/>
    <w:rsid w:val="00B54F61"/>
    <w:rsid w:val="00B64421"/>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24DBF"/>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250E6"/>
    <w:rsid w:val="00D335DD"/>
    <w:rsid w:val="00D47414"/>
    <w:rsid w:val="00D55832"/>
    <w:rsid w:val="00D62FA8"/>
    <w:rsid w:val="00D6369D"/>
    <w:rsid w:val="00D647FC"/>
    <w:rsid w:val="00D6784A"/>
    <w:rsid w:val="00D70AF0"/>
    <w:rsid w:val="00D70EE2"/>
    <w:rsid w:val="00D91CF0"/>
    <w:rsid w:val="00D979CB"/>
    <w:rsid w:val="00DA66FE"/>
    <w:rsid w:val="00DC60A0"/>
    <w:rsid w:val="00E07F73"/>
    <w:rsid w:val="00E16158"/>
    <w:rsid w:val="00E32B47"/>
    <w:rsid w:val="00E74974"/>
    <w:rsid w:val="00E94C52"/>
    <w:rsid w:val="00E95EFF"/>
    <w:rsid w:val="00EB1000"/>
    <w:rsid w:val="00EC3044"/>
    <w:rsid w:val="00ED70D3"/>
    <w:rsid w:val="00EE1C16"/>
    <w:rsid w:val="00EE33D2"/>
    <w:rsid w:val="00F057EE"/>
    <w:rsid w:val="00F20CD6"/>
    <w:rsid w:val="00F25765"/>
    <w:rsid w:val="00F463E2"/>
    <w:rsid w:val="00F55F20"/>
    <w:rsid w:val="00F6101F"/>
    <w:rsid w:val="00F61E29"/>
    <w:rsid w:val="00F62C6C"/>
    <w:rsid w:val="00F643CB"/>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0.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hyperlink" Target="http://constructioneering.com/" TargetMode="External"/><Relationship Id="rId13" Type="http://schemas.openxmlformats.org/officeDocument/2006/relationships/hyperlink" Target="http://constructioneering.com/academy" TargetMode="External"/><Relationship Id="rId14" Type="http://schemas.openxmlformats.org/officeDocument/2006/relationships/hyperlink" Target="https://www.topconpositioning.com/" TargetMode="External"/><Relationship Id="rId15" Type="http://schemas.openxmlformats.org/officeDocument/2006/relationships/hyperlink" Target="http://global.topcon.com/" TargetMode="External"/><Relationship Id="rId16" Type="http://schemas.openxmlformats.org/officeDocument/2006/relationships/hyperlink" Target="https://www.bentley.com" TargetMode="External"/><Relationship Id="rId17" Type="http://schemas.openxmlformats.org/officeDocument/2006/relationships/hyperlink" Target="mailto:corpcomm@topcon.com" TargetMode="External"/><Relationship Id="rId18" Type="http://schemas.openxmlformats.org/officeDocument/2006/relationships/hyperlink" Target="mailto:jennifer.maguire@bentley.co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350F-8800-B048-B70E-8EE250C4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531</Words>
  <Characters>3028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3552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10</cp:revision>
  <cp:lastPrinted>2015-08-13T12:52:00Z</cp:lastPrinted>
  <dcterms:created xsi:type="dcterms:W3CDTF">2018-03-28T16:57:00Z</dcterms:created>
  <dcterms:modified xsi:type="dcterms:W3CDTF">2018-04-02T21:41:00Z</dcterms:modified>
  <cp:category/>
</cp:coreProperties>
</file>